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120" w:before="120"/>
        <w:ind w:hanging="120" w:left="120" w:right="120"/>
        <w:jc w:val="left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 xml:space="preserve">                                        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8"/>
          <w:highlight w:val="white"/>
        </w:rPr>
        <w:t xml:space="preserve">         </w:t>
      </w:r>
      <w:r>
        <w:rPr>
          <w:rFonts w:ascii="Times New Roman" w:hAnsi="Times New Roman"/>
          <w:spacing w:val="5"/>
          <w:sz w:val="20"/>
        </w:rPr>
        <w:t>Муниципальное общеобразовательное учреждение</w:t>
      </w:r>
    </w:p>
    <w:p w14:paraId="03000000">
      <w:pPr>
        <w:spacing w:after="300" w:line="240" w:lineRule="auto"/>
        <w:ind/>
        <w:contextualSpacing w:val="1"/>
        <w:jc w:val="center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spacing w:val="5"/>
          <w:sz w:val="20"/>
        </w:rPr>
        <w:t xml:space="preserve">средняя общеобразовательная школа </w:t>
      </w:r>
      <w:r>
        <w:rPr>
          <w:rFonts w:ascii="Times New Roman" w:hAnsi="Times New Roman"/>
          <w:spacing w:val="5"/>
          <w:sz w:val="20"/>
        </w:rPr>
        <w:t>п.Салми</w:t>
      </w:r>
    </w:p>
    <w:p w14:paraId="04000000">
      <w:pPr>
        <w:spacing w:after="300" w:line="240" w:lineRule="auto"/>
        <w:ind/>
        <w:contextualSpacing w:val="1"/>
        <w:jc w:val="center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spacing w:val="5"/>
          <w:sz w:val="20"/>
        </w:rPr>
        <w:t>Питкярантского</w:t>
      </w:r>
      <w:r>
        <w:rPr>
          <w:rFonts w:ascii="Times New Roman" w:hAnsi="Times New Roman"/>
          <w:spacing w:val="5"/>
          <w:sz w:val="20"/>
        </w:rPr>
        <w:t xml:space="preserve"> муниципального округа Республики Карелия</w:t>
      </w:r>
    </w:p>
    <w:p w14:paraId="05000000">
      <w:pPr>
        <w:spacing w:after="300" w:line="240" w:lineRule="auto"/>
        <w:ind/>
        <w:contextualSpacing w:val="1"/>
        <w:jc w:val="center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spacing w:val="5"/>
          <w:sz w:val="20"/>
        </w:rPr>
        <w:t>________________________________________________________________________________</w:t>
      </w:r>
    </w:p>
    <w:p w14:paraId="06000000">
      <w:pPr>
        <w:spacing w:after="300" w:line="240" w:lineRule="auto"/>
        <w:ind/>
        <w:contextualSpacing w:val="1"/>
        <w:jc w:val="center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spacing w:val="5"/>
          <w:sz w:val="20"/>
        </w:rPr>
        <w:t xml:space="preserve">186821 </w:t>
      </w:r>
      <w:r>
        <w:rPr>
          <w:rFonts w:ascii="Times New Roman" w:hAnsi="Times New Roman"/>
          <w:spacing w:val="5"/>
          <w:sz w:val="20"/>
        </w:rPr>
        <w:t>Питкярантский</w:t>
      </w:r>
      <w:r>
        <w:rPr>
          <w:rFonts w:ascii="Times New Roman" w:hAnsi="Times New Roman"/>
          <w:spacing w:val="5"/>
          <w:sz w:val="20"/>
        </w:rPr>
        <w:t xml:space="preserve"> район, </w:t>
      </w:r>
      <w:r>
        <w:rPr>
          <w:rFonts w:ascii="Times New Roman" w:hAnsi="Times New Roman"/>
          <w:spacing w:val="5"/>
          <w:sz w:val="20"/>
        </w:rPr>
        <w:t>п.Салми</w:t>
      </w:r>
      <w:r>
        <w:rPr>
          <w:rFonts w:ascii="Times New Roman" w:hAnsi="Times New Roman"/>
          <w:spacing w:val="5"/>
          <w:sz w:val="20"/>
        </w:rPr>
        <w:t xml:space="preserve">, </w:t>
      </w:r>
      <w:r>
        <w:rPr>
          <w:rFonts w:ascii="Times New Roman" w:hAnsi="Times New Roman"/>
          <w:spacing w:val="5"/>
          <w:sz w:val="20"/>
        </w:rPr>
        <w:t>ул.Свирских</w:t>
      </w:r>
      <w:r>
        <w:rPr>
          <w:rFonts w:ascii="Times New Roman" w:hAnsi="Times New Roman"/>
          <w:spacing w:val="5"/>
          <w:sz w:val="20"/>
        </w:rPr>
        <w:t xml:space="preserve"> дивизий, д.2, тел. (814 33) 4-83-24</w:t>
      </w:r>
    </w:p>
    <w:p w14:paraId="07000000">
      <w:pPr>
        <w:spacing w:after="300" w:line="240" w:lineRule="auto"/>
        <w:ind/>
        <w:contextualSpacing w:val="1"/>
        <w:jc w:val="center"/>
        <w:rPr>
          <w:rFonts w:ascii="Times New Roman" w:hAnsi="Times New Roman"/>
          <w:spacing w:val="5"/>
          <w:sz w:val="20"/>
        </w:rPr>
      </w:pPr>
      <w:r>
        <w:rPr>
          <w:rFonts w:ascii="Times New Roman" w:hAnsi="Times New Roman"/>
          <w:spacing w:val="5"/>
          <w:sz w:val="20"/>
        </w:rPr>
        <w:t>е-</w:t>
      </w:r>
      <w:r>
        <w:rPr>
          <w:rFonts w:ascii="Times New Roman" w:hAnsi="Times New Roman"/>
          <w:spacing w:val="5"/>
          <w:sz w:val="20"/>
        </w:rPr>
        <w:t>mail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pacing w:val="5"/>
          <w:sz w:val="20"/>
          <w:u w:val="single"/>
        </w:rPr>
        <w:fldChar w:fldCharType="begin"/>
      </w:r>
      <w:r>
        <w:rPr>
          <w:rFonts w:ascii="Times New Roman" w:hAnsi="Times New Roman"/>
          <w:spacing w:val="5"/>
          <w:sz w:val="20"/>
          <w:u w:val="single"/>
        </w:rPr>
        <w:instrText>HYPERLINK "mailto:salmischool@mail.ru"</w:instrText>
      </w:r>
      <w:r>
        <w:rPr>
          <w:rFonts w:ascii="Times New Roman" w:hAnsi="Times New Roman"/>
          <w:spacing w:val="5"/>
          <w:sz w:val="20"/>
          <w:u w:val="single"/>
        </w:rPr>
        <w:fldChar w:fldCharType="separate"/>
      </w:r>
      <w:r>
        <w:rPr>
          <w:rFonts w:ascii="Times New Roman" w:hAnsi="Times New Roman"/>
          <w:spacing w:val="5"/>
          <w:sz w:val="20"/>
          <w:u w:val="single"/>
        </w:rPr>
        <w:t>salmischool</w:t>
      </w:r>
      <w:r>
        <w:rPr>
          <w:rFonts w:ascii="Times New Roman" w:hAnsi="Times New Roman"/>
          <w:spacing w:val="5"/>
          <w:sz w:val="20"/>
          <w:u w:val="single"/>
        </w:rPr>
        <w:t>@</w:t>
      </w:r>
      <w:r>
        <w:rPr>
          <w:rFonts w:ascii="Times New Roman" w:hAnsi="Times New Roman"/>
          <w:spacing w:val="5"/>
          <w:sz w:val="20"/>
          <w:u w:val="single"/>
        </w:rPr>
        <w:t>mail</w:t>
      </w:r>
      <w:r>
        <w:rPr>
          <w:rFonts w:ascii="Times New Roman" w:hAnsi="Times New Roman"/>
          <w:spacing w:val="5"/>
          <w:sz w:val="20"/>
          <w:u w:val="single"/>
        </w:rPr>
        <w:t>.</w:t>
      </w:r>
      <w:r>
        <w:rPr>
          <w:rFonts w:ascii="Times New Roman" w:hAnsi="Times New Roman"/>
          <w:spacing w:val="5"/>
          <w:sz w:val="20"/>
          <w:u w:val="single"/>
        </w:rPr>
        <w:t>ru</w:t>
      </w:r>
      <w:r>
        <w:rPr>
          <w:rFonts w:ascii="Times New Roman" w:hAnsi="Times New Roman"/>
          <w:spacing w:val="5"/>
          <w:sz w:val="20"/>
          <w:u w:val="single"/>
        </w:rPr>
        <w:fldChar w:fldCharType="end"/>
      </w:r>
    </w:p>
    <w:p w14:paraId="08000000">
      <w:pPr>
        <w:spacing w:after="300" w:line="240" w:lineRule="auto"/>
        <w:ind/>
        <w:contextualSpacing w:val="1"/>
        <w:rPr>
          <w:rFonts w:ascii="Times New Roman" w:hAnsi="Times New Roman"/>
          <w:spacing w:val="5"/>
          <w:sz w:val="28"/>
        </w:rPr>
      </w:pPr>
    </w:p>
    <w:p w14:paraId="09000000">
      <w:pPr>
        <w:tabs>
          <w:tab w:leader="none" w:pos="570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Принято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Утверждаю</w:t>
      </w:r>
    </w:p>
    <w:p w14:paraId="0A000000">
      <w:pPr>
        <w:tabs>
          <w:tab w:leader="none" w:pos="570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Педагогическим советом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И.О. директора школы</w:t>
      </w:r>
    </w:p>
    <w:p w14:paraId="0B000000">
      <w:pPr>
        <w:tabs>
          <w:tab w:leader="none" w:pos="5700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Протокол № 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Л.А.Федорова</w:t>
      </w:r>
    </w:p>
    <w:p w14:paraId="0C000000">
      <w:pPr>
        <w:tabs>
          <w:tab w:leader="none" w:pos="5700" w:val="left"/>
        </w:tabs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От «31» августа 2026 года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31» августа 2026 года</w:t>
      </w:r>
    </w:p>
    <w:p w14:paraId="0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/>
    <w:p w14:paraId="10000000"/>
    <w:p w14:paraId="11000000"/>
    <w:p w14:paraId="12000000"/>
    <w:p w14:paraId="13000000"/>
    <w:p w14:paraId="14000000">
      <w:pPr>
        <w:ind/>
        <w:jc w:val="center"/>
        <w:rPr>
          <w:sz w:val="40"/>
        </w:rPr>
      </w:pPr>
      <w:r>
        <w:rPr>
          <w:sz w:val="40"/>
        </w:rPr>
        <w:t xml:space="preserve"> Рабочая программа</w:t>
      </w:r>
    </w:p>
    <w:p w14:paraId="15000000">
      <w:pPr>
        <w:ind/>
        <w:jc w:val="center"/>
        <w:rPr>
          <w:sz w:val="40"/>
        </w:rPr>
      </w:pPr>
      <w:r>
        <w:rPr>
          <w:sz w:val="40"/>
        </w:rPr>
        <w:t>учебной дисциплины</w:t>
      </w:r>
    </w:p>
    <w:p w14:paraId="16000000">
      <w:pPr>
        <w:ind/>
        <w:jc w:val="center"/>
        <w:rPr>
          <w:sz w:val="40"/>
        </w:rPr>
      </w:pPr>
      <w:r>
        <w:rPr>
          <w:sz w:val="40"/>
        </w:rPr>
        <w:t>«Колокольчик»</w:t>
      </w:r>
    </w:p>
    <w:p w14:paraId="17000000">
      <w:pPr>
        <w:ind/>
        <w:jc w:val="center"/>
        <w:rPr>
          <w:sz w:val="40"/>
        </w:rPr>
      </w:pPr>
      <w:r>
        <w:rPr>
          <w:sz w:val="40"/>
        </w:rPr>
        <w:t>срок реализации 1 год</w:t>
      </w:r>
    </w:p>
    <w:p w14:paraId="18000000">
      <w:pPr>
        <w:ind/>
        <w:jc w:val="center"/>
        <w:rPr>
          <w:sz w:val="40"/>
        </w:rPr>
      </w:pPr>
      <w:r>
        <w:rPr>
          <w:sz w:val="40"/>
        </w:rPr>
        <w:t xml:space="preserve">для обучающихся 1-4 классов.  </w:t>
      </w:r>
    </w:p>
    <w:p w14:paraId="19000000">
      <w:pPr>
        <w:ind/>
        <w:jc w:val="center"/>
        <w:rPr>
          <w:sz w:val="40"/>
        </w:rPr>
      </w:pPr>
      <w:r>
        <w:rPr>
          <w:sz w:val="40"/>
        </w:rPr>
        <w:t xml:space="preserve">         </w:t>
      </w:r>
    </w:p>
    <w:p w14:paraId="1A000000"/>
    <w:p w14:paraId="1B000000"/>
    <w:p w14:paraId="1C000000"/>
    <w:p w14:paraId="1D000000"/>
    <w:p w14:paraId="1E000000"/>
    <w:p w14:paraId="1F000000"/>
    <w:p w14:paraId="20000000"/>
    <w:p w14:paraId="21000000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Составитель: Кузнецова Л.А.</w:t>
      </w:r>
    </w:p>
    <w:p w14:paraId="22000000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педагог дополнительного    образования.</w:t>
      </w:r>
    </w:p>
    <w:p w14:paraId="23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8"/>
          <w:highlight w:val="white"/>
        </w:rPr>
        <w:t xml:space="preserve">    </w:t>
      </w:r>
    </w:p>
    <w:p w14:paraId="24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5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6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7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8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9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A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B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</w:p>
    <w:p w14:paraId="2C000000">
      <w:pPr>
        <w:spacing w:after="120" w:before="120"/>
        <w:ind w:hanging="120" w:left="120" w:right="120"/>
        <w:jc w:val="left"/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8"/>
          <w:highlight w:val="white"/>
        </w:rPr>
        <w:t xml:space="preserve">                                                 Пояснительная записка</w:t>
      </w:r>
    </w:p>
    <w:p w14:paraId="2D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Рабочая  программа  «Колокольчик» является программой дополнительного образования, предназначенной для внеурочной формы дополнительных занятий общеобразовательного учреждения для 1-4 классов. Настоящая программа имеет художественно-эстетическую направленность.  Программа направлена на реализацию общекультурного направления внеурочной деятельности.</w:t>
      </w:r>
    </w:p>
    <w:p w14:paraId="2E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Основой народного инструментального исполнительства является коллективность. «Что касается вопроса привлечения масс в самых широких размерах к активному участию в искусстве, то ясно, что из всех других видов (искусства), наиболее подходящих для этой цели, является именно коллективное занятие музыкой на народных инструментах»- говорил русский композитор балалаечник, первый создатель и руководитель Великорусского оркестра В.В.Андреев.</w:t>
      </w:r>
    </w:p>
    <w:p w14:paraId="2F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Рабочая программа «Колокольчик» поможет младшим школьникам творчески войти в удивительный мир музыки, полный чарующих разнообразных звуков.</w:t>
      </w:r>
    </w:p>
    <w:p w14:paraId="30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</w:p>
    <w:p w14:paraId="31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1.Результаты освоения курса внеурочной деятельности</w:t>
      </w:r>
    </w:p>
    <w:p w14:paraId="32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Личностные результаты</w:t>
      </w:r>
    </w:p>
    <w:p w14:paraId="33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1. Формирование основ гражданской идентичности, чувства гордости за свою Родину, осознание своей этнической и национальной принадлежности.</w:t>
      </w:r>
    </w:p>
    <w:p w14:paraId="34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2. Формирование основ национальных ценностей российского общества.</w:t>
      </w:r>
    </w:p>
    <w:p w14:paraId="35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3.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14:paraId="36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4. Формирование уважительного отношения к истории возникновения русских народных инструментов.</w:t>
      </w:r>
    </w:p>
    <w:p w14:paraId="37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5. Развитие мотивов учебной деятельности и формирование личностного смысла учения.</w:t>
      </w:r>
    </w:p>
    <w:p w14:paraId="38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6. Формирование эстетических потребностей, ценностей и чувств.</w:t>
      </w:r>
    </w:p>
    <w:p w14:paraId="39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7. Развитие навыков сотрудничества со взрослыми и сверстниками в разных социальных ситуациях, умения избегать конфликтов.</w:t>
      </w:r>
    </w:p>
    <w:p w14:paraId="3A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</w:p>
    <w:p w14:paraId="3B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Метапредметные результаты</w:t>
      </w:r>
    </w:p>
    <w:p w14:paraId="3C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1. Овладение способностью принимать и сохранять цели и задачи учебной деятельности, поиска средств её осуществления.</w:t>
      </w:r>
    </w:p>
    <w:p w14:paraId="3D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2. Освоение способов решения проблем творческого и поискового характера.</w:t>
      </w:r>
    </w:p>
    <w:p w14:paraId="3E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3.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решения.</w:t>
      </w:r>
    </w:p>
    <w:p w14:paraId="3F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4. Формирование умения понимать причины успеха/неуспеха учебной деятельности и способности конструктивно действовать в ситуациях неуспеха.</w:t>
      </w:r>
    </w:p>
    <w:p w14:paraId="40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5. Освоение начальных форм познавательной и личностной рефлексии.</w:t>
      </w:r>
    </w:p>
    <w:p w14:paraId="41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6.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14:paraId="42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-исполнять импровизацию «Дождик» (на металлофоне). Передать различным ритмическим рисунком имя дру­га (Оля - Оленька, Коля - Коленька и т.д.). Звукоподражать голосам животных и птиц. Конструктивные им­провизации на деревянных ложках, металлофоне, де­ревянных палочках, маракасиках.</w:t>
      </w:r>
    </w:p>
    <w:p w14:paraId="43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 формировать чувства коллективизма, сплоченности учащихся и умению следовать общей идее;</w:t>
      </w:r>
    </w:p>
    <w:p w14:paraId="44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-развивать общие и музыкальные способности,</w:t>
      </w:r>
    </w:p>
    <w:p w14:paraId="45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 развивать интерес к игре на музыкальных инструментах;</w:t>
      </w:r>
    </w:p>
    <w:p w14:paraId="46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-воспитанию у детей веры в свои силы, в свои творческие способности;</w:t>
      </w:r>
    </w:p>
    <w:p w14:paraId="47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Подыграй музыканту» - уметь придумать свой ритми­ческий рисунок и подыграть музыкальному сопровож­дению</w:t>
      </w:r>
    </w:p>
    <w:p w14:paraId="48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На музыкальных инструментах попытаться изобразить движения различных животных (ходит медведь, пры­гает зайчик, поет птичка и т.д.) Конструктивные импровизации на кастаньетах, треугольнике, трещотке, тарелках.</w:t>
      </w:r>
    </w:p>
    <w:p w14:paraId="49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</w:p>
    <w:p w14:paraId="4A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Предметные УУД:</w:t>
      </w:r>
    </w:p>
    <w:p w14:paraId="4B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Предметные результаты изучения музыки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отражают опыт учащихся в музыкально-творческой деятельности:</w:t>
      </w:r>
    </w:p>
    <w:p w14:paraId="4C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-формирование представления о роли музыки в жизни человека, в его духовно-нравственном развитии;</w:t>
      </w:r>
    </w:p>
    <w:p w14:paraId="4D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-формирование общего представления о музыкальной картине мира;</w:t>
      </w:r>
    </w:p>
    <w:p w14:paraId="4E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-знание основных закономерностей музыкального искусства на примере изучаемых музыкальных произведений;</w:t>
      </w:r>
    </w:p>
    <w:p w14:paraId="4F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14:paraId="50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-формирование устойчивого интереса к музыке и различным видам (или какому-либо виду) музыкально-творческой деятельности;</w:t>
      </w:r>
    </w:p>
    <w:p w14:paraId="51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-умение воспринимать музыку и выражать свое отношение к музыкальным произведениям;</w:t>
      </w:r>
    </w:p>
    <w:p w14:paraId="52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14:paraId="53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-умение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14:paraId="54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 </w:t>
      </w:r>
    </w:p>
    <w:p w14:paraId="55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 </w:t>
      </w:r>
    </w:p>
    <w:p w14:paraId="56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2.Содержание рабочей программы «Колокольчик»</w:t>
      </w:r>
    </w:p>
    <w:p w14:paraId="57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Игра на музыкальных инструментах – это один из видов детской исполнительской деятельности, которая чрезвычайно привлекает школьников. В процессе игры на музыкальных инструментах совершенствуются эстетическое восприятие и эстетические чувства ребенка. Она способствует становлению и развитию таких волевых качеств, как выдержка, настойчивость, целеустремленность, усидчивость, развивается память и умение сконцентрировать внимание.</w:t>
      </w:r>
    </w:p>
    <w:p w14:paraId="58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Знакомство с инструментами и оркестрами.</w:t>
      </w:r>
    </w:p>
    <w:p w14:paraId="59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Элементарная музыкальная грамота.</w:t>
      </w:r>
    </w:p>
    <w:p w14:paraId="5A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Упражнения при обучении игре на детских музыкальных инструментах.</w:t>
      </w:r>
    </w:p>
    <w:p w14:paraId="5B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Игра в оркестре (ансамбле).</w:t>
      </w:r>
    </w:p>
    <w:p w14:paraId="5C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Познакомиться с понятиями: музыкальные и немузы­кальные звуки, звуки высокие и низкие, долгие и короткие; темп; длительность; динамика</w:t>
      </w:r>
    </w:p>
    <w:p w14:paraId="5D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Обогащать опыт восприятия му­зыки. Воспитывать интерес к детским музыкальным инстру­ментам, желание научиться играть на них. Воспитывать чув­ство ритма, различать музыкальные инструменты по тембру и внешнему виду. Научить правильным приемам звукоизвлечения. Играть индивидуально и в ансамбле. Развивать творчество. Знакомить с оркестровым звучанием.</w:t>
      </w:r>
    </w:p>
    <w:p w14:paraId="5E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Играть знакомые песни, попевки индивидуально и в ансамбле (оркестре), соблюдая общую динамику, темп. Своевременно вступать и заканчивать игру. Развивать творчество. Побуждать к активным самостоятельным действиям. Знакомить с оркестровым звучанием.</w:t>
      </w:r>
    </w:p>
    <w:p w14:paraId="5F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Уметь самостоятельно организовать небольшой оркестр (ансамбль). Играть по одному и в ансамбле, своевременно вступая и заканчивая свою партию. Играть с динамическими оттенками. Знакомить с оркестровым звучанием. Проведение каждого занятия требует от учителя не просто тщательной подготовки и владения материалом, но и особого творческого настроения, способности увлечь своих учеников и одновременно направлять их во время занятия к достижению поставленной цели.</w:t>
      </w:r>
    </w:p>
    <w:p w14:paraId="60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 </w:t>
      </w:r>
    </w:p>
    <w:p w14:paraId="61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3.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Тематическое планирование</w:t>
      </w:r>
    </w:p>
    <w:p w14:paraId="62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 </w:t>
      </w:r>
    </w:p>
    <w:tbl>
      <w:tblPr>
        <w:tblBorders>
          <w:top w:color="808080" w:sz="6" w:val="single"/>
          <w:left w:color="808080" w:sz="6" w:val="single"/>
          <w:bottom w:color="808080" w:sz="6" w:val="single"/>
          <w:right w:color="808080" w:sz="6" w:val="single"/>
        </w:tblBorders>
        <w:tblLayout w:type="fixed"/>
      </w:tblPr>
      <w:tblGrid>
        <w:gridCol w:w="803"/>
        <w:gridCol w:w="6452"/>
        <w:gridCol w:w="1305"/>
        <w:gridCol w:w="1305"/>
      </w:tblGrid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6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занятия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занятия и форма его проведения.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6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 часов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8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«Звуки окружающего мира» Вводное занятие. Игра на шумовых инструмента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9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A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B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игра «Звуки вокруг нас». Групповая работа.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C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D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6E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«Деревянные звуки». Ритмические игры и упражнения.</w:t>
            </w:r>
          </w:p>
          <w:p w14:paraId="6F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металафоне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0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1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2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«Стеклянные звуки». Ритмические игры и упражнения . Репетиция.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«Металлические звуки». Ритмические игры и упражнения</w:t>
            </w:r>
          </w:p>
          <w:p w14:paraId="76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8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9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игры и упражнения.</w:t>
            </w:r>
          </w:p>
          <w:p w14:paraId="7A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инструментах.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B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C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D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«Шуршащие звуки».</w:t>
            </w:r>
          </w:p>
          <w:p w14:paraId="7E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Ритмическая игра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7F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0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1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Беседы об истории развития ансамблей русских народных инструментов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2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«Я маленький композитор».</w:t>
            </w:r>
          </w:p>
          <w:p w14:paraId="8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музыкальных инструментах (метала фон)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6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8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динамической вырази-</w:t>
            </w:r>
          </w:p>
          <w:p w14:paraId="89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тельностью .</w:t>
            </w:r>
          </w:p>
          <w:p w14:paraId="8A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B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C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D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ритмом , ритмический рисунок</w:t>
            </w:r>
          </w:p>
          <w:p w14:paraId="8E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Репетиция.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8F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0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1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фразами.</w:t>
            </w:r>
          </w:p>
          <w:p w14:paraId="92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фраза.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фразами.</w:t>
            </w:r>
          </w:p>
          <w:p w14:paraId="96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фраза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8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9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Ансамблевая игра.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A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B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C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Ансамблевая игра.</w:t>
            </w:r>
          </w:p>
          <w:p w14:paraId="9D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Репетиция.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E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9F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0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Инструментальные плясовые наигрыши.</w:t>
            </w:r>
          </w:p>
          <w:p w14:paraId="A1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Плясовые наигрыши»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2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645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группах.</w:t>
            </w:r>
          </w:p>
        </w:tc>
        <w:tc>
          <w:tcPr>
            <w:tcW w:type="dxa" w:w="2610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6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Учебно-игровой этап (разрешение проблем) и его требования.</w:t>
            </w:r>
          </w:p>
          <w:p w14:paraId="A8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Произведение «Пойду ль я выйду ль я»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9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A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B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группах.</w:t>
            </w:r>
          </w:p>
          <w:p w14:paraId="AC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Репетиция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D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E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AF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мелодической линии от одного голоса к другому.</w:t>
            </w:r>
          </w:p>
          <w:p w14:paraId="B0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Произведение «Пойду ль я выйду ль я»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1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2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3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Играть в сопровождении фортепьяно в ансамбле, соблюдая общий темп и динамику. Репетиция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4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5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6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Играть в ансамбле, соблюдая общую динамику и темп. Репетиция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7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8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9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Играть в ансамбле, соблюдая общую динамику и темп. Репетиция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A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B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C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чувство ансамбля, одновременно начинать и заканчивать игру; осваивать навыки совместных действий.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D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E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BF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Синхронность звучания партий.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0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1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2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метроритмическую пульсацию и сильную долю в игре на ударных инструментах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3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4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5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Эстрадно -исполнитель</w:t>
            </w:r>
          </w:p>
          <w:p w14:paraId="C6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ские качества .</w:t>
            </w:r>
          </w:p>
          <w:p w14:paraId="C7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 выступления оркестра «Колокольчик»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8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9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A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Культура исполнения, поведения на сцене, ощущение свободы .     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B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C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D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Владение навыками игры в ансамбле.</w:t>
            </w:r>
          </w:p>
          <w:p w14:paraId="CE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CF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0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1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над ритмическим эталоном в размере 2/4 при игре на ложках. Игра на музыкальных инструментах .                           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2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3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4000000">
            <w:pPr>
              <w:spacing w:after="0" w:before="0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Единство трактовки художественного образа музыкального произведения.         Работа в группе       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5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803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6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7757"/>
            <w:gridSpan w:val="2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7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«Колокольчик » - это здорово</w:t>
            </w:r>
          </w:p>
          <w:p w14:paraId="D8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Концертная деятельность.</w:t>
            </w:r>
          </w:p>
        </w:tc>
        <w:tc>
          <w:tcPr>
            <w:tcW w:type="dxa" w:w="1305"/>
            <w:tcBorders>
              <w:top w:color="808080" w:sz="6" w:val="single"/>
              <w:left w:color="808080" w:sz="6" w:val="single"/>
              <w:bottom w:color="808080" w:sz="6" w:val="single"/>
              <w:right w:color="808080" w:sz="6" w:val="single"/>
            </w:tcBorders>
            <w:vAlign w:val="center"/>
          </w:tcPr>
          <w:p w14:paraId="D9000000">
            <w:pPr>
              <w:spacing w:after="0" w:before="0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DA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 </w:t>
      </w:r>
    </w:p>
    <w:p w14:paraId="DB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Учебно – методическое и материально-техническое обеспечение курса</w:t>
      </w:r>
    </w:p>
    <w:p w14:paraId="DC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Для реализации программы по внеурочной деятельности в рамках Федерального государственного образовательного стандарта начального общего образования, необходимо оборудование: музыкальные инструменты, музыкальный центр (караоке), магнитофон, микрофоны, компьютер, портреты композиторов, репродукции картин звуковысотные инструменты – металлофоны, ксилофоны.</w:t>
      </w:r>
    </w:p>
    <w:p w14:paraId="DD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1.Бублей С. Детский оркестр. Изд-во «Музыка» , 1989.</w:t>
      </w:r>
    </w:p>
    <w:p w14:paraId="DE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2.Кононова Н.Г. Обучение дошкольников игре на детских музыкальных инструментах. Изд-во «Просвещение», 1990.</w:t>
      </w:r>
    </w:p>
    <w:p w14:paraId="DF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3.Бырченко Т. С песенкой по лесенке. Изд-во «Советский композитор», 1984.</w:t>
      </w:r>
    </w:p>
    <w:p w14:paraId="E0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4. Михайлова М.А Развитие музыкальных способностей детей. Ярославль: Академия развития, 1997.</w:t>
      </w:r>
    </w:p>
    <w:p w14:paraId="E1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5.Ветлугина Н.А. Методика музыкального воспитания в детском саду. Изд-во «Просвещение» 1982.</w:t>
      </w:r>
    </w:p>
    <w:p w14:paraId="E2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6.Николаев В.А., Сусидко И.П. Музыкально – игровой материал. ГИЦ «Владос»2000.</w:t>
      </w:r>
    </w:p>
    <w:p w14:paraId="E3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7.«Программы внеурочной деятельности. Художественное творчество. Социальное творчество: пособие для учителей общеобразовательных учреждений».Авторы: Д.В.Григорьев, Б.В. Куприянов,М.«Просвещение»2011</w:t>
      </w:r>
    </w:p>
    <w:p w14:paraId="E4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8.«Мир вокального искусства» 1-4 классы - программы, разработки занятий, методические рекомендации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.</w:t>
      </w:r>
      <w:r>
        <w:rPr>
          <w:rFonts w:ascii="Times New Roman" w:hAnsi="Times New Roman"/>
          <w:b w:val="1"/>
          <w:i w:val="0"/>
          <w:caps w:val="0"/>
          <w:color w:val="212529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Автор-составитель Г.А. Суязова. – Волгоград: Учитель, 2009.</w:t>
      </w:r>
    </w:p>
    <w:p w14:paraId="E5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9«Комплексные занятия по развитию творческих способностей школьников»: Методическое пособие. Авторы-составители: Корчаловская Н.В., Посевина Г.Д., 2004г.</w:t>
      </w:r>
    </w:p>
    <w:p w14:paraId="E6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10.«Первые уроки музыки» - Учебное пособие для подготовительных классов детских музыкальных школ и школ искусств. Автор: Домогацкая И.Е., 2003г.</w:t>
      </w:r>
    </w:p>
    <w:p w14:paraId="E7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11.«Музыкальные игры для детей», автор: Образцова Т.Н., 2005 г.</w:t>
      </w:r>
    </w:p>
    <w:p w14:paraId="E8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12..«Развитие музыкальных способностей детей», автор: Михайлова М.А. 2001.г</w:t>
      </w:r>
    </w:p>
    <w:p w14:paraId="E9000000">
      <w:pPr>
        <w:spacing w:after="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13. «Первые уроки музыки и творчества». Автор: Е.И.Юдина, Москва "Аквариум" –2000г.</w:t>
      </w:r>
    </w:p>
    <w:p w14:paraId="EA000000">
      <w:pPr>
        <w:pStyle w:val="Style_1"/>
      </w:pPr>
    </w:p>
    <w:sectPr>
      <w:headerReference r:id="rId1" w:type="default"/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2026-10-11T20:06:53Z</dcterms:modified>
</cp:coreProperties>
</file>